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FB7" w:rsidRPr="006953C7" w:rsidRDefault="00C26B9B" w:rsidP="006953C7">
      <w:pPr>
        <w:spacing w:after="0" w:line="240" w:lineRule="auto"/>
        <w:ind w:left="142" w:right="871" w:hanging="10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uk-UA"/>
        </w:rPr>
      </w:pPr>
      <w:r w:rsidRPr="00B66E20">
        <w:rPr>
          <w:rFonts w:ascii="Arial" w:eastAsia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299AF2F7" wp14:editId="3867BE34">
            <wp:extent cx="914400" cy="409843"/>
            <wp:effectExtent l="0" t="0" r="0" b="9525"/>
            <wp:docPr id="1" name="Рисунок 1" descr="C:\Users\Oksana\AppData\Local\Temp\Rar$DIa0.345\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a\AppData\Local\Temp\Rar$DIa0.345\Logo_bl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405" cy="42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8AC" w:rsidRPr="006953C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0A4057" w:rsidRPr="000A405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A40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</w:t>
      </w:r>
      <w:r w:rsidR="00AF38AC" w:rsidRPr="006953C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67FB7" w:rsidRPr="006953C7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uk-UA"/>
        </w:rPr>
        <w:t>ЗАЯВКА НА УЧАСТЬ</w:t>
      </w:r>
    </w:p>
    <w:p w:rsidR="00667FB7" w:rsidRPr="006953C7" w:rsidRDefault="00667FB7" w:rsidP="006953C7">
      <w:pPr>
        <w:spacing w:after="0" w:line="240" w:lineRule="auto"/>
        <w:ind w:left="939" w:right="871" w:hanging="10"/>
        <w:jc w:val="center"/>
        <w:rPr>
          <w:b/>
          <w:sz w:val="24"/>
          <w:szCs w:val="24"/>
          <w:lang w:val="uk-UA"/>
        </w:rPr>
      </w:pPr>
      <w:r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</w:t>
      </w:r>
      <w:r w:rsidR="00C26B9B"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Х</w:t>
      </w:r>
      <w:r w:rsidR="00F32A0E" w:rsidRPr="006953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0A40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C26B9B"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міжнародна</w:t>
      </w:r>
      <w:r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науково-</w:t>
      </w:r>
      <w:r w:rsidR="00C26B9B"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технічна</w:t>
      </w:r>
      <w:r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конференція </w:t>
      </w:r>
    </w:p>
    <w:p w:rsidR="003005C5" w:rsidRPr="006953C7" w:rsidRDefault="003005C5" w:rsidP="006953C7">
      <w:pPr>
        <w:spacing w:after="0" w:line="240" w:lineRule="auto"/>
        <w:ind w:right="-427"/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</w:pPr>
      <w:r w:rsidRPr="006953C7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«SHIPS’ ELECTRICAL ENGINEERING, ELECTRONICS AND AUTOMATION»</w:t>
      </w:r>
    </w:p>
    <w:p w:rsidR="003005C5" w:rsidRPr="006953C7" w:rsidRDefault="003005C5" w:rsidP="006953C7">
      <w:pPr>
        <w:spacing w:after="0" w:line="240" w:lineRule="auto"/>
        <w:ind w:right="479"/>
        <w:jc w:val="center"/>
        <w:rPr>
          <w:rFonts w:ascii="Times New Roman" w:hAnsi="Times New Roman" w:cs="Times New Roman"/>
          <w:b/>
          <w:noProof/>
          <w:color w:val="0070C0"/>
          <w:sz w:val="24"/>
          <w:szCs w:val="24"/>
          <w:lang w:val="uk-UA" w:eastAsia="ru-RU"/>
        </w:rPr>
      </w:pPr>
      <w:r w:rsidRPr="006953C7">
        <w:rPr>
          <w:rFonts w:ascii="Times New Roman" w:hAnsi="Times New Roman" w:cs="Times New Roman"/>
          <w:b/>
          <w:noProof/>
          <w:color w:val="0070C0"/>
          <w:sz w:val="24"/>
          <w:szCs w:val="24"/>
          <w:lang w:val="uk-UA" w:eastAsia="ru-RU"/>
        </w:rPr>
        <w:t xml:space="preserve">  (SEEEA-20</w:t>
      </w:r>
      <w:r w:rsidR="00DA4C5B" w:rsidRPr="006953C7">
        <w:rPr>
          <w:rFonts w:ascii="Times New Roman" w:hAnsi="Times New Roman" w:cs="Times New Roman"/>
          <w:b/>
          <w:noProof/>
          <w:color w:val="0070C0"/>
          <w:sz w:val="24"/>
          <w:szCs w:val="24"/>
          <w:lang w:val="uk-UA" w:eastAsia="ru-RU"/>
        </w:rPr>
        <w:t>2</w:t>
      </w:r>
      <w:r w:rsidR="000A4057">
        <w:rPr>
          <w:rFonts w:ascii="Times New Roman" w:hAnsi="Times New Roman" w:cs="Times New Roman"/>
          <w:b/>
          <w:noProof/>
          <w:color w:val="0070C0"/>
          <w:sz w:val="24"/>
          <w:szCs w:val="24"/>
          <w:lang w:val="uk-UA" w:eastAsia="ru-RU"/>
        </w:rPr>
        <w:t>4</w:t>
      </w:r>
      <w:r w:rsidRPr="006953C7">
        <w:rPr>
          <w:rFonts w:ascii="Times New Roman" w:hAnsi="Times New Roman" w:cs="Times New Roman"/>
          <w:b/>
          <w:noProof/>
          <w:color w:val="0070C0"/>
          <w:sz w:val="24"/>
          <w:szCs w:val="24"/>
          <w:lang w:val="uk-UA" w:eastAsia="ru-RU"/>
        </w:rPr>
        <w:t>)</w:t>
      </w:r>
    </w:p>
    <w:p w:rsidR="00667FB7" w:rsidRDefault="000A4057" w:rsidP="006953C7">
      <w:pPr>
        <w:spacing w:after="0" w:line="240" w:lineRule="auto"/>
        <w:ind w:left="67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19</w:t>
      </w:r>
      <w:r w:rsidR="00DA4C5B"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667FB7"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–</w:t>
      </w:r>
      <w:r w:rsidR="00DA4C5B"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  <w:r w:rsidR="00667FB7"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C26B9B"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листопада</w:t>
      </w:r>
      <w:r w:rsidR="00667FB7"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</w:t>
      </w:r>
      <w:r w:rsidR="00DA4C5B"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="00667FB7" w:rsidRPr="006953C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 </w:t>
      </w:r>
    </w:p>
    <w:p w:rsidR="00445493" w:rsidRPr="006953C7" w:rsidRDefault="00445493" w:rsidP="006953C7">
      <w:pPr>
        <w:spacing w:after="0" w:line="240" w:lineRule="auto"/>
        <w:ind w:left="67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4995" w:type="pct"/>
        <w:tblInd w:w="67" w:type="dxa"/>
        <w:tblLook w:val="04A0" w:firstRow="1" w:lastRow="0" w:firstColumn="1" w:lastColumn="0" w:noHBand="0" w:noVBand="1"/>
      </w:tblPr>
      <w:tblGrid>
        <w:gridCol w:w="3045"/>
        <w:gridCol w:w="995"/>
        <w:gridCol w:w="142"/>
        <w:gridCol w:w="4676"/>
        <w:gridCol w:w="760"/>
      </w:tblGrid>
      <w:tr w:rsidR="00A5269A" w:rsidRPr="00B66E20" w:rsidTr="00A5269A">
        <w:trPr>
          <w:trHeight w:val="164"/>
        </w:trPr>
        <w:tc>
          <w:tcPr>
            <w:tcW w:w="1583" w:type="pct"/>
            <w:vMerge w:val="restart"/>
            <w:vAlign w:val="center"/>
          </w:tcPr>
          <w:p w:rsidR="00A5269A" w:rsidRPr="00881A20" w:rsidRDefault="00A5269A" w:rsidP="00CD288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Прізвище, ім’я,</w:t>
            </w:r>
          </w:p>
          <w:p w:rsidR="00A5269A" w:rsidRPr="00881A20" w:rsidRDefault="00A5269A" w:rsidP="00CD288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 xml:space="preserve"> по батькові</w:t>
            </w: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Авт.1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163"/>
        </w:trPr>
        <w:tc>
          <w:tcPr>
            <w:tcW w:w="1583" w:type="pct"/>
            <w:vMerge/>
            <w:vAlign w:val="center"/>
          </w:tcPr>
          <w:p w:rsidR="00A5269A" w:rsidRPr="00881A20" w:rsidRDefault="00A5269A" w:rsidP="00CD288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Авт.2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163"/>
        </w:trPr>
        <w:tc>
          <w:tcPr>
            <w:tcW w:w="1583" w:type="pct"/>
            <w:vMerge/>
            <w:vAlign w:val="center"/>
          </w:tcPr>
          <w:p w:rsidR="00A5269A" w:rsidRPr="00881A20" w:rsidRDefault="00A5269A" w:rsidP="00CD288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Авт.3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163"/>
        </w:trPr>
        <w:tc>
          <w:tcPr>
            <w:tcW w:w="1583" w:type="pct"/>
            <w:vMerge/>
            <w:vAlign w:val="center"/>
          </w:tcPr>
          <w:p w:rsidR="00A5269A" w:rsidRPr="00881A20" w:rsidRDefault="00A5269A" w:rsidP="00CD288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Авт.4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51"/>
        </w:trPr>
        <w:tc>
          <w:tcPr>
            <w:tcW w:w="1583" w:type="pct"/>
            <w:vMerge w:val="restart"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eastAsia="Times New Roman" w:hAnsi="Times New Roman" w:cs="Times New Roman"/>
                <w:b/>
                <w:lang w:val="uk-UA"/>
              </w:rPr>
              <w:t>Науковий ступінь, вчене звання</w:t>
            </w: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Авт.1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49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Авт.2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49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Авт.3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49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Авт.4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4"/>
        </w:trPr>
        <w:tc>
          <w:tcPr>
            <w:tcW w:w="1583" w:type="pct"/>
            <w:vMerge w:val="restart"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eastAsia="Times New Roman" w:hAnsi="Times New Roman" w:cs="Times New Roman"/>
                <w:b/>
                <w:lang w:val="uk-UA"/>
              </w:rPr>
              <w:t>Посада, організація</w:t>
            </w: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Авт.1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3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Авт.2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3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Авт.3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3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Авт.4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4"/>
        </w:trPr>
        <w:tc>
          <w:tcPr>
            <w:tcW w:w="1583" w:type="pct"/>
            <w:vMerge w:val="restart"/>
            <w:vAlign w:val="center"/>
          </w:tcPr>
          <w:p w:rsidR="00A5269A" w:rsidRPr="00881A20" w:rsidRDefault="00A5269A" w:rsidP="00F17366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eastAsia="Times New Roman" w:hAnsi="Times New Roman" w:cs="Times New Roman"/>
                <w:b/>
                <w:lang w:val="uk-UA"/>
              </w:rPr>
              <w:t>Контактний телефон</w:t>
            </w:r>
          </w:p>
          <w:p w:rsidR="001D35F4" w:rsidRPr="00881A20" w:rsidRDefault="001D35F4" w:rsidP="00F173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81A20">
              <w:rPr>
                <w:rFonts w:ascii="Times New Roman" w:hAnsi="Times New Roman" w:cs="Times New Roman"/>
                <w:color w:val="2E74B5" w:themeColor="accent1" w:themeShade="BF"/>
                <w:lang w:val="uk-UA"/>
              </w:rPr>
              <w:t>- контактний телефон вказується за бажанням авторів</w:t>
            </w: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Авт.1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3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Авт.2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3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Авт.3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3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Авт.4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56"/>
        </w:trPr>
        <w:tc>
          <w:tcPr>
            <w:tcW w:w="1583" w:type="pct"/>
            <w:vMerge w:val="restart"/>
            <w:vAlign w:val="center"/>
          </w:tcPr>
          <w:p w:rsidR="00A5269A" w:rsidRPr="00881A20" w:rsidRDefault="00A5269A" w:rsidP="00881A2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Контактний e-</w:t>
            </w:r>
            <w:proofErr w:type="spellStart"/>
            <w:r w:rsidRPr="00881A20">
              <w:rPr>
                <w:rFonts w:ascii="Times New Roman" w:hAnsi="Times New Roman" w:cs="Times New Roman"/>
                <w:b/>
                <w:lang w:val="uk-UA"/>
              </w:rPr>
              <w:t>mail</w:t>
            </w:r>
            <w:proofErr w:type="spellEnd"/>
          </w:p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Авт.1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55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Авт.2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55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Авт.3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55"/>
        </w:trPr>
        <w:tc>
          <w:tcPr>
            <w:tcW w:w="1583" w:type="pct"/>
            <w:vMerge/>
            <w:vAlign w:val="center"/>
          </w:tcPr>
          <w:p w:rsidR="00A5269A" w:rsidRPr="00881A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17" w:type="pct"/>
          </w:tcPr>
          <w:p w:rsidR="00A5269A" w:rsidRPr="00881A20" w:rsidRDefault="00A5269A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lang w:val="uk-UA"/>
              </w:rPr>
              <w:t>Авт.4</w:t>
            </w:r>
          </w:p>
        </w:tc>
        <w:tc>
          <w:tcPr>
            <w:tcW w:w="2900" w:type="pct"/>
            <w:gridSpan w:val="3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55"/>
        </w:trPr>
        <w:tc>
          <w:tcPr>
            <w:tcW w:w="1583" w:type="pct"/>
            <w:vAlign w:val="center"/>
          </w:tcPr>
          <w:p w:rsidR="00B66E20" w:rsidRPr="00B66E20" w:rsidRDefault="00A5269A" w:rsidP="00881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81A20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Контактний  </w:t>
            </w:r>
            <w:r w:rsidRPr="00881A20">
              <w:rPr>
                <w:rFonts w:ascii="Times New Roman" w:hAnsi="Times New Roman" w:cs="Times New Roman"/>
                <w:b/>
                <w:lang w:val="uk-UA"/>
              </w:rPr>
              <w:t>e-</w:t>
            </w:r>
            <w:proofErr w:type="spellStart"/>
            <w:r w:rsidRPr="00881A20">
              <w:rPr>
                <w:rFonts w:ascii="Times New Roman" w:hAnsi="Times New Roman" w:cs="Times New Roman"/>
                <w:b/>
                <w:lang w:val="uk-UA"/>
              </w:rPr>
              <w:t>mail</w:t>
            </w:r>
            <w:proofErr w:type="spellEnd"/>
            <w:r w:rsidRPr="00881A20">
              <w:rPr>
                <w:rFonts w:ascii="Times New Roman" w:hAnsi="Times New Roman" w:cs="Times New Roman"/>
                <w:b/>
                <w:lang w:val="uk-UA"/>
              </w:rPr>
              <w:t xml:space="preserve"> для </w:t>
            </w:r>
            <w:r w:rsidR="00F33A8D" w:rsidRPr="00881A20">
              <w:rPr>
                <w:rFonts w:ascii="Times New Roman" w:hAnsi="Times New Roman" w:cs="Times New Roman"/>
                <w:b/>
                <w:lang w:val="uk-UA"/>
              </w:rPr>
              <w:t>листування</w:t>
            </w:r>
          </w:p>
        </w:tc>
        <w:tc>
          <w:tcPr>
            <w:tcW w:w="3417" w:type="pct"/>
            <w:gridSpan w:val="4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A4057" w:rsidRPr="00B66E20" w:rsidTr="00881A20">
        <w:trPr>
          <w:trHeight w:val="219"/>
        </w:trPr>
        <w:tc>
          <w:tcPr>
            <w:tcW w:w="1583" w:type="pct"/>
            <w:vMerge w:val="restart"/>
            <w:vAlign w:val="center"/>
          </w:tcPr>
          <w:p w:rsidR="000A4057" w:rsidRPr="00881A20" w:rsidRDefault="000A4057" w:rsidP="000A4057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eastAsia="Times New Roman" w:hAnsi="Times New Roman" w:cs="Times New Roman"/>
                <w:b/>
                <w:lang w:val="uk-UA"/>
              </w:rPr>
              <w:t>Назва секції</w:t>
            </w:r>
          </w:p>
          <w:p w:rsidR="000A4057" w:rsidRPr="00881A20" w:rsidRDefault="000A4057" w:rsidP="000A405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eastAsia="Times New Roman" w:hAnsi="Times New Roman" w:cs="Times New Roman"/>
                <w:b/>
                <w:color w:val="C00000"/>
                <w:lang w:val="uk-UA"/>
              </w:rPr>
              <w:t>(вказати обов’язково!)</w:t>
            </w:r>
          </w:p>
        </w:tc>
        <w:tc>
          <w:tcPr>
            <w:tcW w:w="591" w:type="pct"/>
            <w:gridSpan w:val="2"/>
          </w:tcPr>
          <w:p w:rsidR="000A4057" w:rsidRPr="00881A20" w:rsidRDefault="000A4057" w:rsidP="000A4057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Секція 1.</w:t>
            </w:r>
          </w:p>
        </w:tc>
        <w:tc>
          <w:tcPr>
            <w:tcW w:w="2431" w:type="pct"/>
          </w:tcPr>
          <w:p w:rsidR="000A4057" w:rsidRPr="000A4057" w:rsidRDefault="000A4057" w:rsidP="000A405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40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Суднове електрообладнання, електронна апаратура та системи управління.</w:t>
            </w:r>
          </w:p>
        </w:tc>
        <w:tc>
          <w:tcPr>
            <w:tcW w:w="395" w:type="pct"/>
          </w:tcPr>
          <w:p w:rsidR="000A4057" w:rsidRPr="00B66E20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2E38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0A4057" w:rsidRPr="00B66E20" w:rsidTr="00881A20">
        <w:trPr>
          <w:trHeight w:val="219"/>
        </w:trPr>
        <w:tc>
          <w:tcPr>
            <w:tcW w:w="1583" w:type="pct"/>
            <w:vMerge/>
            <w:vAlign w:val="center"/>
          </w:tcPr>
          <w:p w:rsidR="000A4057" w:rsidRPr="00881A20" w:rsidRDefault="000A4057" w:rsidP="000A4057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91" w:type="pct"/>
            <w:gridSpan w:val="2"/>
          </w:tcPr>
          <w:p w:rsidR="000A4057" w:rsidRPr="00881A20" w:rsidRDefault="000A4057" w:rsidP="000A4057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Секція 2.</w:t>
            </w:r>
          </w:p>
        </w:tc>
        <w:tc>
          <w:tcPr>
            <w:tcW w:w="2431" w:type="pct"/>
          </w:tcPr>
          <w:p w:rsidR="000A4057" w:rsidRPr="000A4057" w:rsidRDefault="000A4057" w:rsidP="000A405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40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Енергоефективність та  надійність  електромеханічних систем.</w:t>
            </w:r>
          </w:p>
        </w:tc>
        <w:tc>
          <w:tcPr>
            <w:tcW w:w="395" w:type="pct"/>
          </w:tcPr>
          <w:p w:rsidR="000A4057" w:rsidRPr="00B66E20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3B8B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0A4057" w:rsidRPr="00B66E20" w:rsidTr="00881A20">
        <w:trPr>
          <w:trHeight w:val="219"/>
        </w:trPr>
        <w:tc>
          <w:tcPr>
            <w:tcW w:w="1583" w:type="pct"/>
            <w:vMerge/>
            <w:vAlign w:val="center"/>
          </w:tcPr>
          <w:p w:rsidR="000A4057" w:rsidRPr="00881A20" w:rsidRDefault="000A4057" w:rsidP="000A4057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91" w:type="pct"/>
            <w:gridSpan w:val="2"/>
          </w:tcPr>
          <w:p w:rsidR="000A4057" w:rsidRPr="00881A20" w:rsidRDefault="000A4057" w:rsidP="000A4057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Секція 3.</w:t>
            </w:r>
          </w:p>
        </w:tc>
        <w:tc>
          <w:tcPr>
            <w:tcW w:w="2431" w:type="pct"/>
          </w:tcPr>
          <w:p w:rsidR="000A4057" w:rsidRPr="000A4057" w:rsidRDefault="000A4057" w:rsidP="000A4057">
            <w:pPr>
              <w:spacing w:line="276" w:lineRule="auto"/>
              <w:ind w:righ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40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Електромагнітна сумісність та якість електричної енергії. </w:t>
            </w:r>
          </w:p>
        </w:tc>
        <w:tc>
          <w:tcPr>
            <w:tcW w:w="395" w:type="pct"/>
          </w:tcPr>
          <w:p w:rsidR="000A4057" w:rsidRPr="00B66E20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2E38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0A4057" w:rsidRPr="00B66E20" w:rsidTr="00881A20">
        <w:trPr>
          <w:trHeight w:val="219"/>
        </w:trPr>
        <w:tc>
          <w:tcPr>
            <w:tcW w:w="1583" w:type="pct"/>
            <w:vMerge/>
            <w:vAlign w:val="center"/>
          </w:tcPr>
          <w:p w:rsidR="000A4057" w:rsidRPr="00881A20" w:rsidRDefault="000A4057" w:rsidP="000A4057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91" w:type="pct"/>
            <w:gridSpan w:val="2"/>
          </w:tcPr>
          <w:p w:rsidR="000A4057" w:rsidRPr="00881A20" w:rsidRDefault="000A4057" w:rsidP="000A4057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Секція 4.</w:t>
            </w:r>
          </w:p>
        </w:tc>
        <w:tc>
          <w:tcPr>
            <w:tcW w:w="2431" w:type="pct"/>
          </w:tcPr>
          <w:p w:rsidR="000A4057" w:rsidRPr="000A4057" w:rsidRDefault="000A4057" w:rsidP="000A405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40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Сучасні системи автоматизованого електроприводу, компоненти  та діагностика.</w:t>
            </w:r>
          </w:p>
        </w:tc>
        <w:tc>
          <w:tcPr>
            <w:tcW w:w="395" w:type="pct"/>
          </w:tcPr>
          <w:p w:rsidR="000A4057" w:rsidRPr="00B66E20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2E38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0A4057" w:rsidRPr="00B66E20" w:rsidTr="00881A20">
        <w:trPr>
          <w:trHeight w:val="219"/>
        </w:trPr>
        <w:tc>
          <w:tcPr>
            <w:tcW w:w="1583" w:type="pct"/>
            <w:vMerge/>
            <w:vAlign w:val="center"/>
          </w:tcPr>
          <w:p w:rsidR="000A4057" w:rsidRPr="00881A20" w:rsidRDefault="000A4057" w:rsidP="000A4057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91" w:type="pct"/>
            <w:gridSpan w:val="2"/>
          </w:tcPr>
          <w:p w:rsidR="000A4057" w:rsidRPr="00881A20" w:rsidRDefault="000A4057" w:rsidP="000A4057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Секція 5.</w:t>
            </w:r>
          </w:p>
        </w:tc>
        <w:tc>
          <w:tcPr>
            <w:tcW w:w="2431" w:type="pct"/>
          </w:tcPr>
          <w:p w:rsidR="000A4057" w:rsidRPr="000A4057" w:rsidRDefault="000A4057" w:rsidP="000A405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40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Математичне моделювання процесів і явищ в елементах енергетичних установок.</w:t>
            </w:r>
          </w:p>
        </w:tc>
        <w:tc>
          <w:tcPr>
            <w:tcW w:w="395" w:type="pct"/>
          </w:tcPr>
          <w:p w:rsidR="000A4057" w:rsidRPr="00B66E20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2E38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0A4057" w:rsidRPr="00B66E20" w:rsidTr="00881A20">
        <w:trPr>
          <w:trHeight w:val="219"/>
        </w:trPr>
        <w:tc>
          <w:tcPr>
            <w:tcW w:w="1583" w:type="pct"/>
            <w:vMerge/>
            <w:vAlign w:val="center"/>
          </w:tcPr>
          <w:p w:rsidR="000A4057" w:rsidRPr="00881A20" w:rsidRDefault="000A4057" w:rsidP="000A4057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91" w:type="pct"/>
            <w:gridSpan w:val="2"/>
          </w:tcPr>
          <w:p w:rsidR="000A4057" w:rsidRPr="00881A20" w:rsidRDefault="000A4057" w:rsidP="000A4057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Секція 6.</w:t>
            </w:r>
          </w:p>
        </w:tc>
        <w:tc>
          <w:tcPr>
            <w:tcW w:w="2431" w:type="pct"/>
          </w:tcPr>
          <w:p w:rsidR="000A4057" w:rsidRPr="000A4057" w:rsidRDefault="000A4057" w:rsidP="000A405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40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Радіотехніка, електроніка та інформаційна безпека.</w:t>
            </w:r>
          </w:p>
        </w:tc>
        <w:tc>
          <w:tcPr>
            <w:tcW w:w="395" w:type="pct"/>
          </w:tcPr>
          <w:p w:rsidR="000A4057" w:rsidRPr="00B66E20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2E38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0A4057" w:rsidRPr="00B66E20" w:rsidTr="00881A20">
        <w:trPr>
          <w:trHeight w:val="219"/>
        </w:trPr>
        <w:tc>
          <w:tcPr>
            <w:tcW w:w="1583" w:type="pct"/>
            <w:vMerge/>
            <w:vAlign w:val="center"/>
          </w:tcPr>
          <w:p w:rsidR="000A4057" w:rsidRPr="00881A20" w:rsidRDefault="000A4057" w:rsidP="000A4057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91" w:type="pct"/>
            <w:gridSpan w:val="2"/>
          </w:tcPr>
          <w:p w:rsidR="000A4057" w:rsidRPr="00881A20" w:rsidRDefault="000A4057" w:rsidP="000A4057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Секція 7.</w:t>
            </w:r>
          </w:p>
        </w:tc>
        <w:tc>
          <w:tcPr>
            <w:tcW w:w="2431" w:type="pct"/>
          </w:tcPr>
          <w:p w:rsidR="000A4057" w:rsidRPr="000A4057" w:rsidRDefault="000A4057" w:rsidP="000A405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40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Моделювання процесів в електромеханічних системах.</w:t>
            </w:r>
          </w:p>
        </w:tc>
        <w:tc>
          <w:tcPr>
            <w:tcW w:w="395" w:type="pct"/>
          </w:tcPr>
          <w:p w:rsidR="000A4057" w:rsidRPr="00B66E20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2E38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0A4057" w:rsidRPr="00B66E20" w:rsidTr="00881A20">
        <w:trPr>
          <w:trHeight w:val="219"/>
        </w:trPr>
        <w:tc>
          <w:tcPr>
            <w:tcW w:w="1583" w:type="pct"/>
            <w:vMerge/>
            <w:vAlign w:val="center"/>
          </w:tcPr>
          <w:p w:rsidR="000A4057" w:rsidRPr="00881A20" w:rsidRDefault="000A4057" w:rsidP="000A4057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91" w:type="pct"/>
            <w:gridSpan w:val="2"/>
          </w:tcPr>
          <w:p w:rsidR="000A4057" w:rsidRPr="00881A20" w:rsidRDefault="000A4057" w:rsidP="000A4057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Секція 8.</w:t>
            </w:r>
          </w:p>
        </w:tc>
        <w:tc>
          <w:tcPr>
            <w:tcW w:w="2431" w:type="pct"/>
          </w:tcPr>
          <w:p w:rsidR="000A4057" w:rsidRPr="000A4057" w:rsidRDefault="000A4057" w:rsidP="000A405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4057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uk-UA"/>
              </w:rPr>
              <w:t>Автоматизація суднових технічних засобів.</w:t>
            </w:r>
          </w:p>
        </w:tc>
        <w:tc>
          <w:tcPr>
            <w:tcW w:w="395" w:type="pct"/>
          </w:tcPr>
          <w:p w:rsidR="000A4057" w:rsidRPr="00B66E20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2E38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0A4057" w:rsidRPr="00B66E20" w:rsidTr="00881A20">
        <w:trPr>
          <w:trHeight w:val="219"/>
        </w:trPr>
        <w:tc>
          <w:tcPr>
            <w:tcW w:w="1583" w:type="pct"/>
            <w:vMerge/>
            <w:vAlign w:val="center"/>
          </w:tcPr>
          <w:p w:rsidR="000A4057" w:rsidRPr="00881A20" w:rsidRDefault="000A4057" w:rsidP="000A4057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91" w:type="pct"/>
            <w:gridSpan w:val="2"/>
          </w:tcPr>
          <w:p w:rsidR="000A4057" w:rsidRPr="00881A20" w:rsidRDefault="000A4057" w:rsidP="000A4057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Секція 9.</w:t>
            </w:r>
          </w:p>
        </w:tc>
        <w:tc>
          <w:tcPr>
            <w:tcW w:w="2431" w:type="pct"/>
          </w:tcPr>
          <w:p w:rsidR="000A4057" w:rsidRPr="000A4057" w:rsidRDefault="000A4057" w:rsidP="000A405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40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Експлуатація та ремонт засобів транспорту.</w:t>
            </w:r>
          </w:p>
        </w:tc>
        <w:tc>
          <w:tcPr>
            <w:tcW w:w="395" w:type="pct"/>
          </w:tcPr>
          <w:p w:rsidR="000A4057" w:rsidRPr="00B66E20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2E38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0A4057" w:rsidRPr="00B66E20" w:rsidTr="00881A20">
        <w:trPr>
          <w:trHeight w:val="219"/>
        </w:trPr>
        <w:tc>
          <w:tcPr>
            <w:tcW w:w="1583" w:type="pct"/>
            <w:vMerge/>
            <w:vAlign w:val="center"/>
          </w:tcPr>
          <w:p w:rsidR="000A4057" w:rsidRPr="00881A20" w:rsidRDefault="000A4057" w:rsidP="000A4057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91" w:type="pct"/>
            <w:gridSpan w:val="2"/>
          </w:tcPr>
          <w:p w:rsidR="000A4057" w:rsidRPr="00881A20" w:rsidRDefault="000A4057" w:rsidP="000A4057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Секція 10.</w:t>
            </w:r>
          </w:p>
        </w:tc>
        <w:tc>
          <w:tcPr>
            <w:tcW w:w="2431" w:type="pct"/>
          </w:tcPr>
          <w:p w:rsidR="000A4057" w:rsidRPr="000A4057" w:rsidRDefault="000A4057" w:rsidP="000A405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40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Науково-технічні дослідження в умовах воєнного стану: пошуки, проблеми, перспективи розвитку.</w:t>
            </w:r>
          </w:p>
        </w:tc>
        <w:tc>
          <w:tcPr>
            <w:tcW w:w="395" w:type="pct"/>
          </w:tcPr>
          <w:p w:rsidR="000A4057" w:rsidRPr="00B66E20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2E38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0A4057" w:rsidRPr="00B66E20" w:rsidTr="00881A20">
        <w:trPr>
          <w:trHeight w:val="219"/>
        </w:trPr>
        <w:tc>
          <w:tcPr>
            <w:tcW w:w="1583" w:type="pct"/>
            <w:vMerge/>
            <w:vAlign w:val="center"/>
          </w:tcPr>
          <w:p w:rsidR="000A4057" w:rsidRPr="00881A20" w:rsidRDefault="000A4057" w:rsidP="000A4057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91" w:type="pct"/>
            <w:gridSpan w:val="2"/>
          </w:tcPr>
          <w:p w:rsidR="000A4057" w:rsidRPr="00881A20" w:rsidRDefault="000A4057" w:rsidP="000A4057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Секція </w:t>
            </w: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881A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431" w:type="pct"/>
          </w:tcPr>
          <w:p w:rsidR="000A4057" w:rsidRPr="000A4057" w:rsidRDefault="000A4057" w:rsidP="000A405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40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Менеджмент, логістика та транспортні технології</w:t>
            </w:r>
          </w:p>
        </w:tc>
        <w:tc>
          <w:tcPr>
            <w:tcW w:w="395" w:type="pct"/>
          </w:tcPr>
          <w:p w:rsidR="000A4057" w:rsidRPr="00B66E20" w:rsidRDefault="000A4057" w:rsidP="000A4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2E38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0A4057" w:rsidRPr="00B66E20" w:rsidTr="00881A20">
        <w:trPr>
          <w:trHeight w:val="219"/>
        </w:trPr>
        <w:tc>
          <w:tcPr>
            <w:tcW w:w="1583" w:type="pct"/>
            <w:vMerge/>
            <w:vAlign w:val="center"/>
          </w:tcPr>
          <w:p w:rsidR="000A4057" w:rsidRPr="00881A20" w:rsidRDefault="000A4057" w:rsidP="000A4057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91" w:type="pct"/>
            <w:gridSpan w:val="2"/>
          </w:tcPr>
          <w:p w:rsidR="000A4057" w:rsidRPr="00881A20" w:rsidRDefault="000A4057" w:rsidP="000A4057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Секція </w:t>
            </w: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431" w:type="pct"/>
          </w:tcPr>
          <w:p w:rsidR="000A4057" w:rsidRPr="000A4057" w:rsidRDefault="000A4057" w:rsidP="000A405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uk-UA"/>
              </w:rPr>
            </w:pPr>
            <w:r w:rsidRPr="000A40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Безпека судноплавства</w:t>
            </w:r>
          </w:p>
        </w:tc>
        <w:tc>
          <w:tcPr>
            <w:tcW w:w="395" w:type="pct"/>
          </w:tcPr>
          <w:p w:rsidR="000A4057" w:rsidRPr="001A2E38" w:rsidRDefault="000A4057" w:rsidP="000A40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1A2E38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0A4057" w:rsidRPr="00B66E20" w:rsidTr="00881A20">
        <w:trPr>
          <w:trHeight w:val="219"/>
        </w:trPr>
        <w:tc>
          <w:tcPr>
            <w:tcW w:w="1583" w:type="pct"/>
            <w:vMerge/>
            <w:vAlign w:val="center"/>
          </w:tcPr>
          <w:p w:rsidR="000A4057" w:rsidRPr="00881A20" w:rsidRDefault="000A4057" w:rsidP="000A4057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591" w:type="pct"/>
            <w:gridSpan w:val="2"/>
          </w:tcPr>
          <w:p w:rsidR="000A4057" w:rsidRPr="00881A20" w:rsidRDefault="000A4057" w:rsidP="000A4057">
            <w:pPr>
              <w:ind w:left="-11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Секція </w:t>
            </w: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  <w:r w:rsidRPr="00881A2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431" w:type="pct"/>
          </w:tcPr>
          <w:p w:rsidR="000A4057" w:rsidRPr="000A4057" w:rsidRDefault="000A4057" w:rsidP="000A405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405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Педагогіка та освіта.</w:t>
            </w:r>
          </w:p>
        </w:tc>
        <w:tc>
          <w:tcPr>
            <w:tcW w:w="395" w:type="pct"/>
          </w:tcPr>
          <w:p w:rsidR="000A4057" w:rsidRPr="001A2E38" w:rsidRDefault="000A4057" w:rsidP="000A40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1A2E38">
              <w:rPr>
                <w:rFonts w:ascii="Arial" w:hAnsi="Arial" w:cs="Arial"/>
                <w:b/>
                <w:lang w:val="uk-UA"/>
              </w:rPr>
              <w:sym w:font="Symbol" w:char="F096"/>
            </w:r>
          </w:p>
        </w:tc>
      </w:tr>
      <w:tr w:rsidR="00667FB7" w:rsidRPr="00B66E20" w:rsidTr="00A5269A">
        <w:tc>
          <w:tcPr>
            <w:tcW w:w="1583" w:type="pct"/>
            <w:vAlign w:val="center"/>
          </w:tcPr>
          <w:p w:rsidR="00667FB7" w:rsidRPr="00881A20" w:rsidRDefault="00667FB7" w:rsidP="00671B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81A20">
              <w:rPr>
                <w:rFonts w:ascii="Times New Roman" w:eastAsia="Times New Roman" w:hAnsi="Times New Roman" w:cs="Times New Roman"/>
                <w:b/>
                <w:lang w:val="uk-UA"/>
              </w:rPr>
              <w:t>Назва доповіді, автори</w:t>
            </w:r>
          </w:p>
        </w:tc>
        <w:tc>
          <w:tcPr>
            <w:tcW w:w="3417" w:type="pct"/>
            <w:gridSpan w:val="4"/>
          </w:tcPr>
          <w:p w:rsidR="00667FB7" w:rsidRPr="00B66E20" w:rsidRDefault="00667FB7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67FB7" w:rsidRPr="00B66E20" w:rsidRDefault="00667FB7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CD27EC" w:rsidRPr="00881A20" w:rsidRDefault="00667FB7" w:rsidP="00CD27EC">
      <w:pPr>
        <w:spacing w:before="120" w:after="0" w:line="240" w:lineRule="auto"/>
        <w:ind w:left="107" w:hanging="11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81A20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Заповнену заявку, електронну версію тез доповідей направляти за </w:t>
      </w:r>
      <w:proofErr w:type="spellStart"/>
      <w:r w:rsidRPr="00881A20">
        <w:rPr>
          <w:rFonts w:ascii="Times New Roman" w:eastAsia="Times New Roman" w:hAnsi="Times New Roman" w:cs="Times New Roman"/>
          <w:sz w:val="20"/>
          <w:szCs w:val="20"/>
          <w:lang w:val="uk-UA"/>
        </w:rPr>
        <w:t>адресою</w:t>
      </w:r>
      <w:proofErr w:type="spellEnd"/>
      <w:r w:rsidRPr="00881A20">
        <w:rPr>
          <w:rFonts w:ascii="Times New Roman" w:eastAsia="Times New Roman" w:hAnsi="Times New Roman" w:cs="Times New Roman"/>
          <w:sz w:val="20"/>
          <w:szCs w:val="20"/>
          <w:lang w:val="uk-UA"/>
        </w:rPr>
        <w:t>:</w:t>
      </w:r>
      <w:r w:rsidR="00CD27EC" w:rsidRPr="00881A20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</w:p>
    <w:p w:rsidR="00F55FF9" w:rsidRPr="00881A20" w:rsidRDefault="00264D13" w:rsidP="00CD27EC">
      <w:pPr>
        <w:spacing w:before="120" w:after="0" w:line="240" w:lineRule="auto"/>
        <w:ind w:left="107" w:hanging="11"/>
        <w:jc w:val="center"/>
        <w:rPr>
          <w:sz w:val="20"/>
          <w:szCs w:val="20"/>
          <w:lang w:val="uk-UA"/>
        </w:rPr>
      </w:pPr>
      <w:r w:rsidRPr="00881A20">
        <w:rPr>
          <w:rFonts w:ascii="Times New Roman" w:hAnsi="Times New Roman"/>
          <w:b/>
          <w:color w:val="2E74B5" w:themeColor="accent1" w:themeShade="BF"/>
          <w:sz w:val="20"/>
          <w:szCs w:val="20"/>
          <w:u w:val="single"/>
          <w:lang w:val="uk-UA"/>
        </w:rPr>
        <w:t>seea-femire@onma.edu.ua</w:t>
      </w:r>
      <w:bookmarkStart w:id="0" w:name="_GoBack"/>
      <w:bookmarkEnd w:id="0"/>
    </w:p>
    <w:sectPr w:rsidR="00F55FF9" w:rsidRPr="00881A20" w:rsidSect="00C26B9B">
      <w:pgSz w:w="11906" w:h="16838"/>
      <w:pgMar w:top="90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7EAC"/>
    <w:multiLevelType w:val="hybridMultilevel"/>
    <w:tmpl w:val="BCA2480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6D77"/>
    <w:multiLevelType w:val="hybridMultilevel"/>
    <w:tmpl w:val="932A25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B7"/>
    <w:rsid w:val="00015AC0"/>
    <w:rsid w:val="000A4057"/>
    <w:rsid w:val="001D35F4"/>
    <w:rsid w:val="00223B02"/>
    <w:rsid w:val="00230E21"/>
    <w:rsid w:val="00264D13"/>
    <w:rsid w:val="003005C5"/>
    <w:rsid w:val="0038629D"/>
    <w:rsid w:val="00445493"/>
    <w:rsid w:val="004C749E"/>
    <w:rsid w:val="005C6DBF"/>
    <w:rsid w:val="005C7EFE"/>
    <w:rsid w:val="00667FB7"/>
    <w:rsid w:val="006953C7"/>
    <w:rsid w:val="00881A20"/>
    <w:rsid w:val="008A3B8B"/>
    <w:rsid w:val="008C0E7D"/>
    <w:rsid w:val="00A477D7"/>
    <w:rsid w:val="00A5269A"/>
    <w:rsid w:val="00A93F13"/>
    <w:rsid w:val="00AB2D38"/>
    <w:rsid w:val="00AD2533"/>
    <w:rsid w:val="00AF38AC"/>
    <w:rsid w:val="00B66E20"/>
    <w:rsid w:val="00B7087C"/>
    <w:rsid w:val="00B92F3C"/>
    <w:rsid w:val="00C26B9B"/>
    <w:rsid w:val="00CD27EC"/>
    <w:rsid w:val="00CD288D"/>
    <w:rsid w:val="00DA4C5B"/>
    <w:rsid w:val="00DA74C9"/>
    <w:rsid w:val="00DF2137"/>
    <w:rsid w:val="00F17366"/>
    <w:rsid w:val="00F32A0E"/>
    <w:rsid w:val="00F33A8D"/>
    <w:rsid w:val="00F55FF9"/>
    <w:rsid w:val="00F8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7250"/>
  <w15:chartTrackingRefBased/>
  <w15:docId w15:val="{3CD8E8E3-7EFC-4DA2-9F5C-1B818824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1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Оксана Глазєва</cp:lastModifiedBy>
  <cp:revision>2</cp:revision>
  <cp:lastPrinted>2018-10-03T15:35:00Z</cp:lastPrinted>
  <dcterms:created xsi:type="dcterms:W3CDTF">2024-10-16T18:35:00Z</dcterms:created>
  <dcterms:modified xsi:type="dcterms:W3CDTF">2024-10-16T18:35:00Z</dcterms:modified>
</cp:coreProperties>
</file>